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i/>
          <w:iCs/>
          <w:u w:val="single"/>
        </w:rPr>
      </w:pPr>
    </w:p>
    <w:p w:rsidR="0009519F" w:rsidRDefault="0000550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Załącznik nr 1</w:t>
      </w: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rPr>
          <w:rFonts w:ascii="Calibri" w:eastAsia="Calibri" w:hAnsi="Calibri" w:cs="Calibri"/>
          <w:u w:val="single"/>
        </w:rPr>
      </w:pPr>
    </w:p>
    <w:p w:rsidR="0009519F" w:rsidRDefault="0009519F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</w:p>
    <w:p w:rsidR="0009519F" w:rsidRDefault="00005507">
      <w:pPr>
        <w:jc w:val="center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OPIS PRZEDMIOTU ZAMÓWIENIA I PARAMETRY TECHNICZNE</w:t>
      </w:r>
    </w:p>
    <w:p w:rsidR="0009519F" w:rsidRDefault="0009519F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</w:p>
    <w:p w:rsidR="0009519F" w:rsidRDefault="00005507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  <w:r>
        <w:rPr>
          <w:rFonts w:ascii="Calibri" w:eastAsia="Calibri" w:hAnsi="Calibri" w:cs="Calibri"/>
          <w:b/>
          <w:bCs/>
          <w:i/>
          <w:iCs/>
          <w:sz w:val="24"/>
          <w:szCs w:val="24"/>
        </w:rPr>
        <w:t>Aparat ultrasonograficzny z oprogramowaniem</w:t>
      </w:r>
    </w:p>
    <w:p w:rsidR="0009519F" w:rsidRDefault="00005507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  <w:r>
        <w:rPr>
          <w:rFonts w:ascii="Calibri" w:eastAsia="Calibri" w:hAnsi="Calibri" w:cs="Calibri"/>
          <w:b/>
          <w:bCs/>
          <w:i/>
          <w:iCs/>
          <w:sz w:val="24"/>
          <w:szCs w:val="24"/>
        </w:rPr>
        <w:t xml:space="preserve">dedykowanym do badań ginekologiczno- położniczych </w:t>
      </w:r>
    </w:p>
    <w:p w:rsidR="0009519F" w:rsidRDefault="00005507">
      <w:pPr>
        <w:jc w:val="center"/>
        <w:rPr>
          <w:rFonts w:ascii="Calibri" w:eastAsia="Calibri" w:hAnsi="Calibri" w:cs="Calibri"/>
          <w:b/>
          <w:bCs/>
          <w:i/>
          <w:iCs/>
          <w:sz w:val="24"/>
          <w:szCs w:val="24"/>
        </w:rPr>
      </w:pPr>
      <w:r>
        <w:rPr>
          <w:rFonts w:ascii="Calibri" w:eastAsia="Calibri" w:hAnsi="Calibri" w:cs="Calibri"/>
          <w:b/>
          <w:bCs/>
          <w:i/>
          <w:iCs/>
          <w:sz w:val="24"/>
          <w:szCs w:val="24"/>
        </w:rPr>
        <w:t>oraz prenatalnych z obrazowaniem 3/4D i kompletem głowic szt. 1</w:t>
      </w:r>
    </w:p>
    <w:p w:rsidR="0009519F" w:rsidRDefault="0009519F">
      <w:pPr>
        <w:jc w:val="center"/>
        <w:rPr>
          <w:rFonts w:ascii="Calibri" w:eastAsia="Calibri" w:hAnsi="Calibri" w:cs="Calibri"/>
          <w:sz w:val="26"/>
          <w:szCs w:val="26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ind w:right="1346"/>
        <w:jc w:val="right"/>
        <w:rPr>
          <w:rFonts w:ascii="Calibri" w:eastAsia="Calibri" w:hAnsi="Calibri" w:cs="Calibri"/>
          <w:u w:val="single"/>
        </w:rPr>
      </w:pPr>
    </w:p>
    <w:p w:rsidR="0009519F" w:rsidRDefault="00005507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Wykonawca: ……………………………………………………………….</w:t>
      </w:r>
    </w:p>
    <w:p w:rsidR="0009519F" w:rsidRDefault="00005507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Nazwa i typ: …………………..……………………………………………</w:t>
      </w:r>
    </w:p>
    <w:p w:rsidR="0009519F" w:rsidRDefault="00005507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Producent/ Kraj: …………………………………………………………</w:t>
      </w:r>
    </w:p>
    <w:p w:rsidR="0009519F" w:rsidRDefault="00005507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Rok produkcji: ………………….…………………………………………</w:t>
      </w:r>
    </w:p>
    <w:p w:rsidR="0009519F" w:rsidRDefault="0009519F">
      <w:pPr>
        <w:shd w:val="clear" w:color="auto" w:fill="FFFFFF"/>
        <w:tabs>
          <w:tab w:val="left" w:pos="2712"/>
        </w:tabs>
        <w:spacing w:before="264" w:line="259" w:lineRule="auto"/>
        <w:ind w:left="77"/>
        <w:rPr>
          <w:rFonts w:ascii="Calibri" w:eastAsia="Calibri" w:hAnsi="Calibri" w:cs="Calibri"/>
          <w:sz w:val="20"/>
          <w:szCs w:val="20"/>
        </w:rPr>
      </w:pPr>
    </w:p>
    <w:p w:rsidR="0009519F" w:rsidRDefault="0009519F">
      <w:pPr>
        <w:widowControl w:val="0"/>
        <w:spacing w:before="234" w:line="240" w:lineRule="auto"/>
        <w:ind w:right="4010"/>
        <w:rPr>
          <w:rFonts w:ascii="Calibri" w:eastAsia="Calibri" w:hAnsi="Calibri" w:cs="Calibri"/>
          <w:i/>
          <w:iCs/>
          <w:u w:val="single"/>
        </w:rPr>
      </w:pPr>
    </w:p>
    <w:tbl>
      <w:tblPr>
        <w:tblStyle w:val="a"/>
        <w:tblpPr w:leftFromText="180" w:rightFromText="180" w:topFromText="180" w:bottomFromText="180" w:vertAnchor="text"/>
        <w:tblW w:w="1075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795"/>
        <w:gridCol w:w="5400"/>
        <w:gridCol w:w="1965"/>
        <w:gridCol w:w="2595"/>
      </w:tblGrid>
      <w:tr w:rsidR="0009519F">
        <w:trPr>
          <w:trHeight w:val="590"/>
        </w:trPr>
        <w:tc>
          <w:tcPr>
            <w:tcW w:w="795" w:type="dxa"/>
            <w:shd w:val="clear" w:color="auto" w:fill="D9D9D9"/>
            <w:vAlign w:val="center"/>
          </w:tcPr>
          <w:p w:rsidR="0009519F" w:rsidRDefault="0009519F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5400" w:type="dxa"/>
            <w:shd w:val="clear" w:color="auto" w:fill="D9D9D9"/>
            <w:vAlign w:val="center"/>
          </w:tcPr>
          <w:p w:rsidR="0009519F" w:rsidRDefault="00005507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  <w:sz w:val="25"/>
                <w:szCs w:val="25"/>
              </w:rPr>
            </w:pPr>
            <w:r>
              <w:rPr>
                <w:rFonts w:ascii="Calibri" w:eastAsia="Calibri" w:hAnsi="Calibri" w:cs="Calibri"/>
                <w:sz w:val="25"/>
                <w:szCs w:val="25"/>
              </w:rPr>
              <w:t>Parametr</w:t>
            </w:r>
          </w:p>
        </w:tc>
        <w:tc>
          <w:tcPr>
            <w:tcW w:w="1965" w:type="dxa"/>
            <w:shd w:val="clear" w:color="auto" w:fill="D9D9D9"/>
            <w:vAlign w:val="center"/>
          </w:tcPr>
          <w:p w:rsidR="0009519F" w:rsidRDefault="00005507">
            <w:pPr>
              <w:widowControl w:val="0"/>
              <w:spacing w:line="231" w:lineRule="auto"/>
              <w:ind w:left="81" w:right="395" w:hanging="1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Parametr wymagany</w:t>
            </w:r>
          </w:p>
        </w:tc>
        <w:tc>
          <w:tcPr>
            <w:tcW w:w="2595" w:type="dxa"/>
            <w:shd w:val="clear" w:color="auto" w:fill="D9D9D9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b/>
                <w:bCs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sz w:val="24"/>
                <w:szCs w:val="24"/>
              </w:rPr>
              <w:t>Parametr oferowany</w:t>
            </w:r>
          </w:p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 xml:space="preserve">Oferent umieszcza opis parametru w oferowanym urządzeniu </w:t>
            </w:r>
          </w:p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4"/>
                <w:szCs w:val="24"/>
              </w:rPr>
              <w:t>(wg kolumny „Parametr”)</w:t>
            </w:r>
          </w:p>
        </w:tc>
      </w:tr>
      <w:tr w:rsidR="0009519F">
        <w:trPr>
          <w:trHeight w:val="590"/>
        </w:trPr>
        <w:tc>
          <w:tcPr>
            <w:tcW w:w="795" w:type="dxa"/>
            <w:shd w:val="clear" w:color="auto" w:fill="CCCCCC"/>
          </w:tcPr>
          <w:p w:rsidR="0009519F" w:rsidRDefault="0009519F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  <w:tc>
          <w:tcPr>
            <w:tcW w:w="5400" w:type="dxa"/>
            <w:shd w:val="clear" w:color="auto" w:fill="CCCCCC"/>
          </w:tcPr>
          <w:p w:rsidR="0009519F" w:rsidRDefault="00005507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Parametry techniczne</w:t>
            </w:r>
          </w:p>
        </w:tc>
        <w:tc>
          <w:tcPr>
            <w:tcW w:w="1965" w:type="dxa"/>
            <w:shd w:val="clear" w:color="auto" w:fill="CCCCCC"/>
          </w:tcPr>
          <w:p w:rsidR="0009519F" w:rsidRDefault="0009519F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25"/>
                <w:szCs w:val="25"/>
              </w:rPr>
            </w:pPr>
          </w:p>
        </w:tc>
        <w:tc>
          <w:tcPr>
            <w:tcW w:w="2595" w:type="dxa"/>
            <w:shd w:val="clear" w:color="auto" w:fill="CCCCCC"/>
          </w:tcPr>
          <w:p w:rsidR="0009519F" w:rsidRDefault="0009519F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25"/>
                <w:szCs w:val="25"/>
              </w:rPr>
            </w:pPr>
          </w:p>
        </w:tc>
      </w:tr>
      <w:tr w:rsidR="0009519F">
        <w:trPr>
          <w:trHeight w:val="590"/>
        </w:trPr>
        <w:tc>
          <w:tcPr>
            <w:tcW w:w="795" w:type="dxa"/>
          </w:tcPr>
          <w:p w:rsidR="0009519F" w:rsidRDefault="0009519F">
            <w:pPr>
              <w:widowControl w:val="0"/>
              <w:spacing w:line="231" w:lineRule="auto"/>
              <w:ind w:left="79" w:right="39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Cyfrowy aparat ultrasonograficzny, dedykowany do badań ginekologiczno-położniczych, prenatalnych z  obrazowaniem 3/4D z głowic wolumetrycznych, nowa platforma wprowadzona do produkcji nie wcześniej niż 2022 r.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31" w:lineRule="auto"/>
              <w:ind w:left="81" w:right="395" w:hanging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Ilość przetwarzanych kanałów odbiorczych min. 1 800 000 000.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Zakres stosowanych częstotliwości pracy min. 1 - 18 MHz (określony częstotliwościami pracy głowic w aparacie).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Zakres głębokości obrazowania min od 2 do 50 cm, bez użycia funkcji Zoom.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Liczba gniazd do podłączenia głowic obrazowych elektronicznych min 4.</w:t>
            </w:r>
            <w:r>
              <w:rPr>
                <w:rFonts w:ascii="Calibri" w:eastAsia="Calibri" w:hAnsi="Calibri" w:cs="Calibri"/>
                <w:color w:val="FF0000"/>
                <w:sz w:val="19"/>
                <w:szCs w:val="19"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Gniazda z systemem rozpoznawania głowic.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Cztery niezależne, skrętne koła, z blokadą wszystkich kół.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Dynamika aparatu w trybie B min. 410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dB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Odświeżanie obrazu w trybie B-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Frame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Rate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) min 2000 obrazów/sek.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Odświeżanie obrazu w trybie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Color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Doppler (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Frame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Rate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) min 400 obrazów/sek.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Elektryczna regulacja wysokości konsoli (góra-dół) operatora w zakresie min. 25 cm. Sterowana za pomocą jednego przycisku, oraz regulacja obrotu konsoli.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8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590"/>
        </w:trPr>
        <w:tc>
          <w:tcPr>
            <w:tcW w:w="795" w:type="dxa"/>
          </w:tcPr>
          <w:p w:rsidR="0009519F" w:rsidRDefault="0009519F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Monitor kolorowy</w:t>
            </w:r>
            <w:r>
              <w:rPr>
                <w:rFonts w:ascii="Calibri" w:eastAsia="Calibri" w:hAnsi="Calibri" w:cs="Calibri"/>
                <w:color w:val="FF0000"/>
                <w:sz w:val="19"/>
                <w:szCs w:val="19"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typu HDU, na ruchomym przegubowym ramieniu, zapewniającym swobodę ustawienia monitora. Przekątna ekranu  min. 23”, rozdzielczość min. 1920 x 1080.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31" w:lineRule="auto"/>
              <w:ind w:left="75" w:right="196" w:firstLine="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Wbudowany w aparat panel dotykowy do sterowania funkcjami aparatu o przekątnej min. 15” z obsługą gestów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408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Videoprinter</w:t>
            </w:r>
            <w:proofErr w:type="spellEnd"/>
            <w:r>
              <w:rPr>
                <w:rFonts w:ascii="Calibri" w:eastAsia="Calibri" w:hAnsi="Calibri" w:cs="Calibri"/>
                <w:color w:val="FF0000"/>
                <w:sz w:val="19"/>
                <w:szCs w:val="19"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cyfrowy</w:t>
            </w:r>
            <w:r>
              <w:rPr>
                <w:rFonts w:ascii="Calibri" w:eastAsia="Calibri" w:hAnsi="Calibri" w:cs="Calibri"/>
                <w:b/>
                <w:bCs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czarno-biały.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Wbudowany w aparat dysk twardy o pojemności min. 2TB.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Archiwizacja z pamięci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cine-loop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sekwencji na HDD.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Pamięć CINE o pojemności pozwalającej na min. 8 minut zapisu.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Wbudowana w aparat baza danych demograficznych pacjentów, </w:t>
            </w:r>
            <w:r>
              <w:rPr>
                <w:rFonts w:ascii="Calibri" w:eastAsia="Calibri" w:hAnsi="Calibri" w:cs="Calibri"/>
                <w:b/>
                <w:bCs/>
              </w:rPr>
              <w:t xml:space="preserve">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z funkcją Scan Assistant usprawniającą protokoły badań.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5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587"/>
        </w:trPr>
        <w:tc>
          <w:tcPr>
            <w:tcW w:w="795" w:type="dxa"/>
          </w:tcPr>
          <w:p w:rsidR="0009519F" w:rsidRDefault="0009519F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Eksport obrazów i pętli ruchomych w powszechnie stosowanych formatach (min. AVI, JPEG, MPEG, BMP, TIFF, DICOM)  NA nośniki min. USB. Porty USB w standardzie 3.0 do szybszego transferu z wbudowaną nagrywarką DVD-R/RW.</w:t>
            </w:r>
          </w:p>
          <w:p w:rsidR="0009519F" w:rsidRDefault="0009519F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31" w:lineRule="auto"/>
              <w:ind w:left="72" w:right="190" w:firstLine="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255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Eksport obrazów w formatach min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. STL, OBJ, PLY, 3MF, XYZ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vAlign w:val="center"/>
          </w:tcPr>
          <w:p w:rsidR="0009519F" w:rsidRDefault="00005507">
            <w:pPr>
              <w:spacing w:line="240" w:lineRule="auto"/>
              <w:jc w:val="both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Możliwość zarządzania uprawnieniami użytkowników: </w:t>
            </w:r>
          </w:p>
          <w:p w:rsidR="0009519F" w:rsidRDefault="00005507">
            <w:pPr>
              <w:spacing w:line="240" w:lineRule="auto"/>
              <w:jc w:val="both"/>
              <w:rPr>
                <w:rFonts w:ascii="Calibri" w:eastAsia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co najmniej export obrazów, usuwanie badań.</w:t>
            </w:r>
          </w:p>
        </w:tc>
        <w:tc>
          <w:tcPr>
            <w:tcW w:w="1965" w:type="dxa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  <w:p w:rsidR="0009519F" w:rsidRDefault="0009519F">
            <w:pPr>
              <w:spacing w:line="240" w:lineRule="auto"/>
              <w:jc w:val="center"/>
              <w:rPr>
                <w:rFonts w:ascii="Calibri" w:eastAsia="Calibri" w:hAnsi="Calibri" w:cs="Calibri"/>
                <w:i/>
                <w:iCs/>
                <w:sz w:val="18"/>
                <w:szCs w:val="18"/>
              </w:rPr>
            </w:pPr>
          </w:p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i/>
                <w:iCs/>
                <w:sz w:val="18"/>
                <w:szCs w:val="18"/>
              </w:rPr>
              <w:t>Prosimy o opis dostępnych uprawnień użytkowników, którymi można zarządzać.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Generowanie raportów z możliwością wydruku na zewnętrznych drukarkach.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2971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Dostępne aplikacje minimum: </w:t>
            </w:r>
          </w:p>
          <w:p w:rsidR="0009519F" w:rsidRDefault="00005507">
            <w:pPr>
              <w:widowControl w:val="0"/>
              <w:spacing w:before="55" w:line="240" w:lineRule="auto"/>
              <w:ind w:left="50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a) jama brzuszna </w:t>
            </w:r>
          </w:p>
          <w:p w:rsidR="0009519F" w:rsidRDefault="00005507">
            <w:pPr>
              <w:widowControl w:val="0"/>
              <w:spacing w:before="57" w:line="240" w:lineRule="auto"/>
              <w:ind w:left="50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b) ginekologia </w:t>
            </w:r>
          </w:p>
          <w:p w:rsidR="0009519F" w:rsidRDefault="00005507">
            <w:pPr>
              <w:widowControl w:val="0"/>
              <w:spacing w:before="57" w:line="240" w:lineRule="auto"/>
              <w:ind w:left="50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c) położnictwo </w:t>
            </w:r>
          </w:p>
          <w:p w:rsidR="0009519F" w:rsidRDefault="00005507">
            <w:pPr>
              <w:widowControl w:val="0"/>
              <w:spacing w:before="58" w:line="240" w:lineRule="auto"/>
              <w:ind w:left="50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d) małe i powierzchniowe narządy </w:t>
            </w:r>
          </w:p>
          <w:p w:rsidR="0009519F" w:rsidRDefault="00005507">
            <w:pPr>
              <w:widowControl w:val="0"/>
              <w:spacing w:before="57" w:line="240" w:lineRule="auto"/>
              <w:ind w:left="50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e) tarczyca,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sutki,jądra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7" w:line="240" w:lineRule="auto"/>
              <w:ind w:left="50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f)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 xml:space="preserve">naczynia (tętnice, żyły, badania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transkranialne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) </w:t>
            </w:r>
          </w:p>
          <w:p w:rsidR="0009519F" w:rsidRDefault="00005507">
            <w:pPr>
              <w:widowControl w:val="0"/>
              <w:spacing w:before="55" w:line="240" w:lineRule="auto"/>
              <w:ind w:left="50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g) pediatria i badania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neonatalne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7" w:line="240" w:lineRule="auto"/>
              <w:ind w:left="50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h) urologia </w:t>
            </w:r>
          </w:p>
          <w:p w:rsidR="0009519F" w:rsidRDefault="00005507">
            <w:pPr>
              <w:widowControl w:val="0"/>
              <w:spacing w:before="57" w:line="240" w:lineRule="auto"/>
              <w:ind w:left="50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i) kardiologia (dzieci, dorośli, echo płodu)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60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Zoom statyczny i pętli ruchomych z wysoką jakością obrazu i funkcją przesuwania powiększonego obszaru min. 20x.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Zoom dla obrazów na żywo min 8x.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80" w:right="1029" w:hanging="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Powiększenie obrazu w czasie rzeczywistym ze zwiększeniem rozdzielczości liniowej i czasowej obrazu poprzez  ograniczenie pola skanowania do powiększonego wycinka, do lepszej diagnostyki serca płodu.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14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Tryby obrazowania min: </w:t>
            </w:r>
          </w:p>
          <w:p w:rsidR="0009519F" w:rsidRDefault="00005507">
            <w:pPr>
              <w:widowControl w:val="0"/>
              <w:spacing w:before="58" w:line="240" w:lineRule="auto"/>
              <w:ind w:left="50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a)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B-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3" w:line="240" w:lineRule="auto"/>
              <w:ind w:left="50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b)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M-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5" w:line="240" w:lineRule="auto"/>
              <w:ind w:left="50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c)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Color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M-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5" w:line="240" w:lineRule="auto"/>
              <w:ind w:left="50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d)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Color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Doppler CD </w:t>
            </w:r>
          </w:p>
          <w:p w:rsidR="0009519F" w:rsidRDefault="00005507">
            <w:pPr>
              <w:widowControl w:val="0"/>
              <w:spacing w:before="53" w:line="240" w:lineRule="auto"/>
              <w:ind w:left="50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e)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 xml:space="preserve">Power Doppler o podwyższonej czułości ze znakowaniem kierunku przepływu </w:t>
            </w:r>
          </w:p>
          <w:p w:rsidR="0009519F" w:rsidRDefault="00005507">
            <w:pPr>
              <w:widowControl w:val="0"/>
              <w:spacing w:before="55" w:line="240" w:lineRule="auto"/>
              <w:ind w:left="50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f)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 xml:space="preserve">Tkankowy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Color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Doppler </w:t>
            </w:r>
          </w:p>
          <w:p w:rsidR="0009519F" w:rsidRDefault="00005507">
            <w:pPr>
              <w:widowControl w:val="0"/>
              <w:spacing w:before="53" w:line="240" w:lineRule="auto"/>
              <w:ind w:left="50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g)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 xml:space="preserve">Doppler Pulsacyjny (PWD): LPRF i HPRF </w:t>
            </w:r>
          </w:p>
          <w:p w:rsidR="0009519F" w:rsidRDefault="00005507">
            <w:pPr>
              <w:widowControl w:val="0"/>
              <w:spacing w:before="55" w:line="240" w:lineRule="auto"/>
              <w:ind w:left="503"/>
              <w:rPr>
                <w:rFonts w:ascii="Calibri" w:eastAsia="Calibri" w:hAnsi="Calibri" w:cs="Calibri"/>
                <w:color w:val="FF0000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1"/>
                <w:szCs w:val="21"/>
              </w:rPr>
              <w:t xml:space="preserve">h)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Doppler ciągły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Obrazowanie przepływów w trybie B-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metodą niedopplerowską.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Obrazowanie cyfrowo kodowaną falą ultradźwiękową. Funkcje redukcji szumów oraz obrazowania w skrzyżowanych wiązkach.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Gotowość do transmisji danych obrazowych w standardzie DICOM 3.0, min. </w:t>
            </w:r>
          </w:p>
          <w:p w:rsidR="0009519F" w:rsidRDefault="00005507">
            <w:pPr>
              <w:widowControl w:val="0"/>
              <w:spacing w:before="57" w:line="240" w:lineRule="auto"/>
              <w:ind w:left="15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a)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Verify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5" w:line="240" w:lineRule="auto"/>
              <w:ind w:left="14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b)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Print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7" w:line="240" w:lineRule="auto"/>
              <w:ind w:left="14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c)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Store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7" w:line="240" w:lineRule="auto"/>
              <w:ind w:left="14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d)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Modality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Worklist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</w:p>
          <w:p w:rsidR="0009519F" w:rsidRDefault="00005507">
            <w:pPr>
              <w:widowControl w:val="0"/>
              <w:spacing w:before="57" w:line="240" w:lineRule="auto"/>
              <w:ind w:left="14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e)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Structured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Reporting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31" w:lineRule="auto"/>
              <w:ind w:left="81" w:right="395" w:hanging="1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Oprogramowanie</w:t>
            </w:r>
          </w:p>
        </w:tc>
        <w:tc>
          <w:tcPr>
            <w:tcW w:w="196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Pełne oprogramowanie pomiarowe położniczo-ginekologiczne, 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Automatyzacja pomiarów biometrycznych.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0" w:lineRule="auto"/>
              <w:ind w:left="75" w:right="23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Obrazowanie 3D/4D dostępne dla głowic wolumetrycznych w czasie rzeczywistym o prędkości min. 1000 objętości/sek., z  możliwością obrazowania tzw. tomograficznego oraz algorytm renderingu 3D/4D, umożliwiającym o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trzymanie obrazu o  regulowanym wirtualnym kierunku oświetlenia dla realistycznej projekcji 3D do podwyższonej detekcji wad struktur  wewnętrznych płodu i zmian narządu rodnego.</w:t>
            </w:r>
          </w:p>
          <w:p w:rsidR="0009519F" w:rsidRDefault="00005507">
            <w:pPr>
              <w:widowControl w:val="0"/>
              <w:spacing w:line="230" w:lineRule="auto"/>
              <w:ind w:left="75" w:right="233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Wymagane zaawansowane tryby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renderowania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4" w:right="822" w:firstLine="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Obrazowanie wolumetryczne z możliwością renderingu płaszczyzny według dowolnej krzywej do wizualizacji wad  płodowych i układu rodnego.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4" w:right="737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Funkcja automatycznej optymalizacji płaszczyzny rekonstrukcji 3D/4D, umożliwiająca dopasowanie do anatomii  badan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ych struktur w czasie rzeczywistym.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81" w:right="250" w:hanging="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Funkcja automatycznego wyznaczania NT i IT z obrazu 2D przy wykorzystaniu metod zgodnych z zaleceniami i  akceptowanych przez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Fetal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Medicine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Foundation (FMD), z możliwością wykonywania pomiaru na obrazach zapisanych w  archiwum.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8" w:right="148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Funkcja automatyzacji podstawowych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pomiarów.biometrycznych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, m.in. BPD, AC, HC, FL, HL z obrazu 2D, z możliwością  wykonywania pomiarów na obrazach zapisanych w archiwum.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5" w:right="136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Funkcja wizualizacji płaszczyzny prostopadłej do zaznaczonej dowolnej krzywej na obrazie, wizualizacja struktur zagiętych  np. kręgosłup płodu, endometrium na całej długości wraz z regulacją grubości warstw.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7" w:right="8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Funkcja czasowo-przestrzennej korelacji obrazu w trybie B-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mode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i skojarzeniu z Dopplerem Kolorowym, dwukierunkowym  Power Dopplerem i niedopplerowskim mapowaniem przepływu, do oceny serca płodu.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5" w:right="305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Automatyczne tworzenie projekcji niezbędnych do wizual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izacji struktur mózgu płodu, wraz z automatycznymi pomiarami  podstawowych parametrów mózgu.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Redendering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przestrzenny w Dopplerze kolorowym do wizualizacji rzeczywistego układu badanych struktur naczyniowych.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Tryb regulowanej przezierności struktur anatomicznych w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redenderingu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 xml:space="preserve"> 3D/4D do wizualizacji struktur wewnętrznych płodu.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5" w:right="253" w:firstLine="1"/>
              <w:jc w:val="both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Funkcja obrazowania objętościowego 4D pozwalająca na lepszą wizualizację struktur kostnych płodu poprzez skanowanie  metodą cienkiej warstwy, z możliwością wizualizacji w normalnej płaszczyźnie obrazowania oraz płaszczyźnie czołowej z  regulacją grubości w</w:t>
            </w:r>
            <w:r>
              <w:rPr>
                <w:rFonts w:ascii="Calibri" w:eastAsia="Calibri" w:hAnsi="Calibri" w:cs="Calibri"/>
                <w:sz w:val="19"/>
                <w:szCs w:val="19"/>
              </w:rPr>
              <w:t>arstwy obrazowania.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25"/>
                <w:szCs w:val="25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Zaawansowana redukcja szumów i artefaktów podczas obrazowania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wolumerycznego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3"/>
              <w:rPr>
                <w:rFonts w:ascii="Calibri" w:eastAsia="Calibri" w:hAnsi="Calibri" w:cs="Calibri"/>
                <w:sz w:val="19"/>
                <w:szCs w:val="19"/>
              </w:rPr>
            </w:pP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Quazi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-przestrzenna mapa przepływu dopplerowskiego w oparciu o obrazowanie dwuwymiarowe.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4" w:right="123" w:firstLine="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Obrazowanie w rozszerzonym trybie Power Doppler z bardzo wysoką czułością i rozdzielczości, z możliwością wizualizacji  bardzo wolnych przepływów z podaniem kierunku i prędkości przepływu.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Głowice</w:t>
            </w:r>
          </w:p>
        </w:tc>
        <w:tc>
          <w:tcPr>
            <w:tcW w:w="196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2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Głowica </w:t>
            </w:r>
            <w:proofErr w:type="spellStart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endowaginalna</w:t>
            </w:r>
            <w:proofErr w:type="spellEnd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 3D/4D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Pasmo przenoszenia min 4-9 MHz +/- 1 MHz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Ilość kryształów piezoelektrycznych min. 230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Kąt obrazowania min. 205 stopni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2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Głowica liniowa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Pasmo przenoszenia min. 4-10 MHz +/- 1 MHz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4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szerokość skanu min 38 mm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Ilość kryształów piezoelektrycznych min. 192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82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Głowica </w:t>
            </w:r>
            <w:proofErr w:type="spellStart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convex</w:t>
            </w:r>
            <w:proofErr w:type="spellEnd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konweksowa</w:t>
            </w:r>
            <w:proofErr w:type="spellEnd"/>
            <w:r>
              <w:rPr>
                <w:rFonts w:ascii="Calibri" w:eastAsia="Calibri" w:hAnsi="Calibri" w:cs="Calibri"/>
                <w:b/>
                <w:bCs/>
                <w:sz w:val="19"/>
                <w:szCs w:val="19"/>
              </w:rPr>
              <w:t>), matrycowa 3D/4D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Pasmo przenoszenia min. 2-7 MHz +/- 1 MHz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7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Kąt skanu wolumetrycznego min 85 stopni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9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Ilość kryształów piezoelektrycznych min. 500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437"/>
        </w:trPr>
        <w:tc>
          <w:tcPr>
            <w:tcW w:w="7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Możliwości rozbudowy</w:t>
            </w:r>
          </w:p>
        </w:tc>
        <w:tc>
          <w:tcPr>
            <w:tcW w:w="196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6" w:right="556" w:firstLine="1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Możliwość rozbudowy o ocenę zmiany kształtu, rozmiaru i kurczliwości serca płodu oraz wizualizacji i parametryzacji  uzyskanych wyników.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31" w:lineRule="auto"/>
              <w:ind w:left="75" w:right="520" w:firstLine="2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Możliwość rozbudowy o głowicę elektroniczną </w:t>
            </w:r>
            <w:proofErr w:type="spellStart"/>
            <w:r>
              <w:rPr>
                <w:rFonts w:ascii="Calibri" w:eastAsia="Calibri" w:hAnsi="Calibri" w:cs="Calibri"/>
                <w:sz w:val="19"/>
                <w:szCs w:val="19"/>
              </w:rPr>
              <w:t>konweksową</w:t>
            </w:r>
            <w:proofErr w:type="spellEnd"/>
            <w:r>
              <w:rPr>
                <w:rFonts w:ascii="Calibri" w:eastAsia="Calibri" w:hAnsi="Calibri" w:cs="Calibri"/>
                <w:sz w:val="19"/>
                <w:szCs w:val="19"/>
              </w:rPr>
              <w:t>, matrycowa 3D/4D z dodatkowym obiegiem chłodzącym,  pasmo przenoszenia min. 2-6 MHz +/- 1 MHz, ilość kryształów piezoelektrycznych min. 8000.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437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vAlign w:val="center"/>
          </w:tcPr>
          <w:p w:rsidR="0009519F" w:rsidRDefault="00005507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Instrukcja obsługi urządzenia w języku polskim.</w:t>
            </w:r>
          </w:p>
        </w:tc>
        <w:tc>
          <w:tcPr>
            <w:tcW w:w="1965" w:type="dxa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vAlign w:val="center"/>
          </w:tcPr>
          <w:p w:rsidR="0009519F" w:rsidRDefault="00005507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Okres obowiązywania gwarancji: min. 24 miesięcy</w:t>
            </w:r>
          </w:p>
        </w:tc>
        <w:tc>
          <w:tcPr>
            <w:tcW w:w="1965" w:type="dxa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vAlign w:val="center"/>
          </w:tcPr>
          <w:p w:rsidR="0009519F" w:rsidRDefault="00005507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USG powinno być zapakowane w opakowanie wykonane z materiałów nadających się do recyklingu, zgodnie z obowiązującymi przepisami dotyczącymi gospodarki odpadami opakowaniowymi (o ile to możliwe). Preferowane są opakowania papierowe lub kartonowe, bez lamina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tów i elementów utrudniających recykling. </w:t>
            </w:r>
          </w:p>
        </w:tc>
        <w:tc>
          <w:tcPr>
            <w:tcW w:w="1965" w:type="dxa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vAlign w:val="center"/>
          </w:tcPr>
          <w:p w:rsidR="0009519F" w:rsidRDefault="00005507">
            <w:pPr>
              <w:spacing w:line="240" w:lineRule="auto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Szkolenie: min. 2 h dla min. 4 osób, co najmniej w zakresu obsługi oraz eksploatacji.</w:t>
            </w:r>
          </w:p>
        </w:tc>
        <w:tc>
          <w:tcPr>
            <w:tcW w:w="1965" w:type="dxa"/>
            <w:vAlign w:val="center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473"/>
        </w:trPr>
        <w:tc>
          <w:tcPr>
            <w:tcW w:w="7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CCCCC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b/>
                <w:bCs/>
                <w:sz w:val="25"/>
                <w:szCs w:val="25"/>
              </w:rPr>
              <w:t>Inne</w:t>
            </w:r>
          </w:p>
        </w:tc>
        <w:tc>
          <w:tcPr>
            <w:tcW w:w="196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2595" w:type="dxa"/>
            <w:shd w:val="clear" w:color="auto" w:fill="CCCCCC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497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>Dostępność części zamiennych przez okres przewidzianego życia sprzętu, co najmniej przez 5 lat gwarancji od daty wygaśnięcia gwarancji 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19"/>
                <w:szCs w:val="19"/>
              </w:rPr>
              <w:t xml:space="preserve">Automatyczne przejście  w tryb czuwania lub wyłączenia po określonym czasie bierności. 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  <w:tr w:rsidR="0009519F">
        <w:trPr>
          <w:trHeight w:val="359"/>
        </w:trPr>
        <w:tc>
          <w:tcPr>
            <w:tcW w:w="7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  <w:tc>
          <w:tcPr>
            <w:tcW w:w="54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Dodatkowo ujęte w ofercie: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Zdalna diagnostyka i naprawy, bezpłatna w okresie min. 5 lat od daty instalacji, umożliwiająca między innymi: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Zdalną diagnostykę i weryfikację usterek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Naprawy oprogramowania i błędów konfiguracji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Zmianę parametrów aplikacyj</w:t>
            </w:r>
            <w:r>
              <w:rPr>
                <w:rFonts w:ascii="Calibri" w:eastAsia="Calibri" w:hAnsi="Calibri" w:cs="Calibri"/>
                <w:sz w:val="20"/>
                <w:szCs w:val="20"/>
              </w:rPr>
              <w:t>nych, ustawień aparatu itd.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Instalację aktualizacji oprogramowania i sterowników peryferii</w:t>
            </w:r>
          </w:p>
          <w:p w:rsidR="0009519F" w:rsidRDefault="00005507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b/>
                <w:bCs/>
                <w:color w:val="FF0000"/>
                <w:sz w:val="19"/>
                <w:szCs w:val="19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• Aktywację opcji.</w:t>
            </w:r>
          </w:p>
        </w:tc>
        <w:tc>
          <w:tcPr>
            <w:tcW w:w="1965" w:type="dxa"/>
          </w:tcPr>
          <w:p w:rsidR="0009519F" w:rsidRDefault="00005507">
            <w:pPr>
              <w:spacing w:line="240" w:lineRule="auto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TAK</w:t>
            </w:r>
          </w:p>
        </w:tc>
        <w:tc>
          <w:tcPr>
            <w:tcW w:w="2595" w:type="dxa"/>
          </w:tcPr>
          <w:p w:rsidR="0009519F" w:rsidRDefault="0009519F">
            <w:pPr>
              <w:widowControl w:val="0"/>
              <w:spacing w:line="240" w:lineRule="auto"/>
              <w:ind w:left="76"/>
              <w:rPr>
                <w:rFonts w:ascii="Calibri" w:eastAsia="Calibri" w:hAnsi="Calibri" w:cs="Calibri"/>
                <w:sz w:val="19"/>
                <w:szCs w:val="19"/>
              </w:rPr>
            </w:pPr>
          </w:p>
        </w:tc>
      </w:tr>
    </w:tbl>
    <w:p w:rsidR="0009519F" w:rsidRDefault="0009519F">
      <w:pPr>
        <w:widowControl w:val="0"/>
        <w:rPr>
          <w:rFonts w:ascii="Calibri" w:eastAsia="Calibri" w:hAnsi="Calibri" w:cs="Calibri"/>
          <w:i/>
          <w:iCs/>
          <w:u w:val="single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p w:rsidR="0009519F" w:rsidRDefault="0009519F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</w:p>
    <w:sectPr w:rsidR="0009519F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17" w:right="1303" w:bottom="1598" w:left="727" w:header="1133" w:footer="113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5507" w:rsidRDefault="00005507">
      <w:pPr>
        <w:spacing w:line="240" w:lineRule="auto"/>
      </w:pPr>
      <w:r>
        <w:separator/>
      </w:r>
    </w:p>
  </w:endnote>
  <w:endnote w:type="continuationSeparator" w:id="0">
    <w:p w:rsidR="00005507" w:rsidRDefault="0000550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2BD3A00D-FB56-448D-A929-60AD827ECC64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7D4B36A-14F3-44AF-8229-13C20E65894B}"/>
    <w:embedBold r:id="rId3" w:fontKey="{BDB7EDD8-410B-46FD-8F7E-B36ABCE6D572}"/>
    <w:embedItalic r:id="rId4" w:fontKey="{F283B1BB-0A84-493A-86CF-2C5434F00A4C}"/>
    <w:embedBoldItalic r:id="rId5" w:fontKey="{6B6D27D6-FF30-482B-88FE-8762199AA41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3AE828AE-DBCF-47FB-BE20-F5FAE57FAF5A}"/>
    <w:embedItalic r:id="rId7" w:fontKey="{F5311E4B-D449-4DC9-964B-34DB537BA06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185" w:rsidRDefault="00FA518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519F" w:rsidRDefault="0009519F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185" w:rsidRDefault="00FA518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5507" w:rsidRDefault="00005507">
      <w:pPr>
        <w:spacing w:line="240" w:lineRule="auto"/>
      </w:pPr>
      <w:r>
        <w:separator/>
      </w:r>
    </w:p>
  </w:footnote>
  <w:footnote w:type="continuationSeparator" w:id="0">
    <w:p w:rsidR="00005507" w:rsidRDefault="0000550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185" w:rsidRDefault="00FA5185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519F" w:rsidRDefault="00005507">
    <w:r>
      <w:rPr>
        <w:noProof/>
      </w:rPr>
      <w:drawing>
        <wp:inline distT="114300" distB="114300" distL="114300" distR="114300">
          <wp:extent cx="6482842" cy="647700"/>
          <wp:effectExtent l="0" t="0" r="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82842" cy="647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09519F" w:rsidRDefault="00005507">
    <w:pPr>
      <w:jc w:val="right"/>
      <w:rPr>
        <w:i/>
        <w:iCs/>
        <w:color w:val="666666"/>
      </w:rPr>
    </w:pPr>
    <w:r>
      <w:rPr>
        <w:rFonts w:ascii="Cambria" w:eastAsia="Cambria" w:hAnsi="Cambria" w:cs="Cambria"/>
        <w:i/>
        <w:iCs/>
        <w:color w:val="666666"/>
        <w:sz w:val="16"/>
        <w:szCs w:val="16"/>
      </w:rPr>
      <w:t xml:space="preserve">Załącznik nr 1 do Zapytania ofertowego nr </w:t>
    </w:r>
    <w:r w:rsidR="00FA5185">
      <w:rPr>
        <w:rFonts w:ascii="Cambria" w:eastAsia="Cambria" w:hAnsi="Cambria" w:cs="Cambria"/>
        <w:i/>
        <w:iCs/>
        <w:color w:val="666666"/>
        <w:sz w:val="16"/>
        <w:szCs w:val="16"/>
      </w:rPr>
      <w:t>1/2025/FEMA</w:t>
    </w:r>
    <w:bookmarkStart w:id="0" w:name="_GoBack"/>
    <w:bookmarkEnd w:id="0"/>
    <w:r>
      <w:rPr>
        <w:rFonts w:ascii="Cambria" w:eastAsia="Cambria" w:hAnsi="Cambria" w:cs="Cambria"/>
        <w:i/>
        <w:iCs/>
        <w:color w:val="666666"/>
        <w:sz w:val="16"/>
        <w:szCs w:val="16"/>
      </w:rPr>
      <w:t xml:space="preserve">   Załącznik nr 4 do umowy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185" w:rsidRDefault="00FA518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519F"/>
    <w:rsid w:val="00005507"/>
    <w:rsid w:val="0009519F"/>
    <w:rsid w:val="00FA51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48F41567-871C-401D-99BB-87C006B78D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paragraph" w:styleId="Nagwek">
    <w:name w:val="header"/>
    <w:basedOn w:val="Normalny"/>
    <w:link w:val="NagwekZnak"/>
    <w:uiPriority w:val="99"/>
    <w:unhideWhenUsed/>
    <w:rsid w:val="00FA518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A5185"/>
  </w:style>
  <w:style w:type="paragraph" w:styleId="Stopka">
    <w:name w:val="footer"/>
    <w:basedOn w:val="Normalny"/>
    <w:link w:val="StopkaZnak"/>
    <w:uiPriority w:val="99"/>
    <w:unhideWhenUsed/>
    <w:rsid w:val="00FA5185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A51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1261</Words>
  <Characters>7570</Characters>
  <Application>Microsoft Office Word</Application>
  <DocSecurity>0</DocSecurity>
  <Lines>63</Lines>
  <Paragraphs>17</Paragraphs>
  <ScaleCrop>false</ScaleCrop>
  <Company/>
  <LinksUpToDate>false</LinksUpToDate>
  <CharactersWithSpaces>8814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HP</cp:lastModifiedBy>
  <cp:revision>2</cp:revision>
  <dcterms:created xsi:type="dcterms:W3CDTF">2025-12-08T14:54:00Z</dcterms:created>
  <dcterms:modified xsi:type="dcterms:W3CDTF">2025-12-08T14:55:00Z</dcterms:modified>
</cp:coreProperties>
</file>